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4A71C0" w:rsidRDefault="00FA7547">
      <w:pPr>
        <w:spacing w:beforeLines="50" w:before="156" w:afterLines="50" w:after="156"/>
        <w:jc w:val="center"/>
        <w:rPr>
          <w:rFonts w:ascii="仿宋" w:eastAsia="仿宋" w:hAnsi="仿宋" w:cs="仿宋"/>
          <w:b/>
          <w:bCs/>
          <w:sz w:val="44"/>
        </w:rPr>
      </w:pPr>
      <w:r>
        <w:rPr>
          <w:rFonts w:ascii="仿宋" w:eastAsia="仿宋" w:hAnsi="仿宋" w:cs="仿宋" w:hint="eastAsia"/>
          <w:b/>
          <w:bCs/>
          <w:sz w:val="44"/>
        </w:rPr>
        <w:t>团体标准</w:t>
      </w:r>
    </w:p>
    <w:p w:rsidR="004A71C0" w:rsidRDefault="004A71C0">
      <w:pPr>
        <w:spacing w:line="380" w:lineRule="exact"/>
        <w:jc w:val="center"/>
        <w:rPr>
          <w:rFonts w:ascii="仿宋" w:eastAsia="仿宋" w:hAnsi="仿宋" w:cs="仿宋"/>
          <w:b/>
          <w:bCs/>
          <w:sz w:val="36"/>
        </w:rPr>
      </w:pPr>
    </w:p>
    <w:p w:rsidR="004A71C0" w:rsidRDefault="004A71C0">
      <w:pPr>
        <w:spacing w:line="380" w:lineRule="exact"/>
        <w:jc w:val="center"/>
        <w:rPr>
          <w:rFonts w:ascii="仿宋" w:eastAsia="仿宋" w:hAnsi="仿宋" w:cs="仿宋"/>
          <w:b/>
          <w:bCs/>
          <w:sz w:val="36"/>
        </w:rPr>
      </w:pPr>
    </w:p>
    <w:p w:rsidR="004A71C0" w:rsidRPr="00CA1B68" w:rsidRDefault="00FA7547" w:rsidP="00CA1B68">
      <w:pPr>
        <w:spacing w:beforeLines="100" w:before="312" w:afterLines="100" w:after="312" w:line="540" w:lineRule="exact"/>
        <w:jc w:val="center"/>
        <w:rPr>
          <w:rFonts w:asciiTheme="majorEastAsia" w:eastAsiaTheme="majorEastAsia" w:hAnsiTheme="majorEastAsia" w:cs="仿宋"/>
          <w:b/>
          <w:bCs/>
          <w:sz w:val="44"/>
          <w:szCs w:val="44"/>
        </w:rPr>
      </w:pPr>
      <w:r w:rsidRPr="00CA1B68">
        <w:rPr>
          <w:rFonts w:asciiTheme="majorEastAsia" w:eastAsiaTheme="majorEastAsia" w:hAnsiTheme="majorEastAsia" w:cs="仿宋" w:hint="eastAsia"/>
          <w:b/>
          <w:bCs/>
          <w:sz w:val="44"/>
          <w:szCs w:val="44"/>
        </w:rPr>
        <w:t>《</w:t>
      </w:r>
      <w:r w:rsidR="003218E1" w:rsidRPr="003218E1">
        <w:rPr>
          <w:rFonts w:asciiTheme="majorEastAsia" w:eastAsiaTheme="majorEastAsia" w:hAnsiTheme="majorEastAsia" w:cs="仿宋" w:hint="eastAsia"/>
          <w:b/>
          <w:bCs/>
          <w:sz w:val="44"/>
          <w:szCs w:val="44"/>
        </w:rPr>
        <w:t>海参中麦芽糊精</w:t>
      </w:r>
      <w:r w:rsidR="003218E1">
        <w:rPr>
          <w:rFonts w:asciiTheme="majorEastAsia" w:eastAsiaTheme="majorEastAsia" w:hAnsiTheme="majorEastAsia" w:cs="仿宋" w:hint="eastAsia"/>
          <w:b/>
          <w:bCs/>
          <w:sz w:val="44"/>
          <w:szCs w:val="44"/>
        </w:rPr>
        <w:t>、</w:t>
      </w:r>
      <w:r w:rsidR="003218E1" w:rsidRPr="003218E1">
        <w:rPr>
          <w:rFonts w:asciiTheme="majorEastAsia" w:eastAsiaTheme="majorEastAsia" w:hAnsiTheme="majorEastAsia" w:cs="仿宋" w:hint="eastAsia"/>
          <w:b/>
          <w:bCs/>
          <w:sz w:val="44"/>
          <w:szCs w:val="44"/>
        </w:rPr>
        <w:t>糖醇</w:t>
      </w:r>
      <w:r w:rsidR="003218E1">
        <w:rPr>
          <w:rFonts w:asciiTheme="majorEastAsia" w:eastAsiaTheme="majorEastAsia" w:hAnsiTheme="majorEastAsia" w:cs="仿宋" w:hint="eastAsia"/>
          <w:b/>
          <w:bCs/>
          <w:sz w:val="44"/>
          <w:szCs w:val="44"/>
        </w:rPr>
        <w:t>、</w:t>
      </w:r>
      <w:r w:rsidR="003218E1" w:rsidRPr="003218E1">
        <w:rPr>
          <w:rFonts w:asciiTheme="majorEastAsia" w:eastAsiaTheme="majorEastAsia" w:hAnsiTheme="majorEastAsia" w:cs="仿宋" w:hint="eastAsia"/>
          <w:b/>
          <w:bCs/>
          <w:sz w:val="44"/>
          <w:szCs w:val="44"/>
        </w:rPr>
        <w:t>食糖类物质的定性检测方法</w:t>
      </w:r>
      <w:r w:rsidRPr="00CA1B68">
        <w:rPr>
          <w:rFonts w:asciiTheme="majorEastAsia" w:eastAsiaTheme="majorEastAsia" w:hAnsiTheme="majorEastAsia" w:cs="仿宋" w:hint="eastAsia"/>
          <w:b/>
          <w:bCs/>
          <w:sz w:val="44"/>
          <w:szCs w:val="44"/>
        </w:rPr>
        <w:t>》</w:t>
      </w:r>
    </w:p>
    <w:p w:rsidR="004A71C0" w:rsidRDefault="004A71C0">
      <w:pPr>
        <w:spacing w:line="380" w:lineRule="exact"/>
        <w:jc w:val="center"/>
        <w:rPr>
          <w:rFonts w:ascii="仿宋" w:eastAsia="仿宋" w:hAnsi="仿宋" w:cs="仿宋"/>
          <w:b/>
          <w:bCs/>
          <w:sz w:val="36"/>
        </w:rPr>
      </w:pPr>
    </w:p>
    <w:p w:rsidR="004A71C0" w:rsidRPr="003218E1" w:rsidRDefault="004A71C0">
      <w:pPr>
        <w:spacing w:line="380" w:lineRule="exact"/>
        <w:jc w:val="center"/>
        <w:rPr>
          <w:rFonts w:ascii="仿宋" w:eastAsia="仿宋" w:hAnsi="仿宋" w:cs="仿宋"/>
          <w:b/>
          <w:bCs/>
          <w:sz w:val="36"/>
        </w:rPr>
      </w:pPr>
    </w:p>
    <w:p w:rsidR="004A71C0" w:rsidRDefault="00FA7547">
      <w:pPr>
        <w:spacing w:beforeLines="50" w:before="156" w:afterLines="50" w:after="156" w:line="380" w:lineRule="exact"/>
        <w:jc w:val="center"/>
        <w:rPr>
          <w:rFonts w:ascii="仿宋" w:eastAsia="仿宋" w:hAnsi="仿宋" w:cs="仿宋"/>
          <w:b/>
          <w:bCs/>
          <w:sz w:val="44"/>
          <w:szCs w:val="44"/>
        </w:rPr>
      </w:pPr>
      <w:r>
        <w:rPr>
          <w:rFonts w:ascii="仿宋" w:eastAsia="仿宋" w:hAnsi="仿宋" w:cs="仿宋" w:hint="eastAsia"/>
          <w:b/>
          <w:bCs/>
          <w:sz w:val="44"/>
          <w:szCs w:val="44"/>
        </w:rPr>
        <w:t>编 制 说 明</w:t>
      </w:r>
    </w:p>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Pr>
        <w:rPr>
          <w:rFonts w:hint="eastAsia"/>
        </w:rPr>
      </w:pPr>
    </w:p>
    <w:p w:rsidR="003218E1" w:rsidRDefault="003218E1">
      <w:pPr>
        <w:rPr>
          <w:rFonts w:hint="eastAsia"/>
        </w:rPr>
      </w:pPr>
    </w:p>
    <w:p w:rsidR="003218E1" w:rsidRDefault="003218E1">
      <w:pPr>
        <w:rPr>
          <w:rFonts w:hint="eastAsia"/>
        </w:rPr>
      </w:pPr>
    </w:p>
    <w:p w:rsidR="003218E1" w:rsidRDefault="003218E1"/>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lastRenderedPageBreak/>
        <w:t>一、工作简况</w:t>
      </w:r>
    </w:p>
    <w:p w:rsidR="004A71C0" w:rsidRDefault="00FA7547">
      <w:pPr>
        <w:ind w:firstLineChars="196" w:firstLine="551"/>
        <w:rPr>
          <w:rFonts w:ascii="仿宋_GB2312" w:eastAsia="仿宋_GB2312"/>
          <w:b/>
          <w:sz w:val="28"/>
          <w:szCs w:val="28"/>
        </w:rPr>
      </w:pPr>
      <w:r>
        <w:rPr>
          <w:rFonts w:ascii="仿宋_GB2312" w:eastAsia="仿宋_GB2312" w:hAnsi="宋体" w:cs="宋体" w:hint="eastAsia"/>
          <w:b/>
          <w:color w:val="000000"/>
          <w:sz w:val="28"/>
          <w:szCs w:val="28"/>
        </w:rPr>
        <w:t>（一）任务来源</w:t>
      </w:r>
    </w:p>
    <w:p w:rsidR="004A71C0" w:rsidRPr="003218E1" w:rsidRDefault="00FA7547" w:rsidP="003218E1">
      <w:pPr>
        <w:rPr>
          <w:rFonts w:ascii="宋体" w:hAnsi="宋体" w:cs="宋体"/>
          <w:kern w:val="0"/>
          <w:sz w:val="24"/>
        </w:rPr>
      </w:pPr>
      <w:r>
        <w:rPr>
          <w:rFonts w:ascii="仿宋_GB2312" w:eastAsia="仿宋_GB2312" w:hAnsi="宋体" w:hint="eastAsia"/>
          <w:color w:val="000000"/>
          <w:sz w:val="28"/>
          <w:szCs w:val="28"/>
        </w:rPr>
        <w:t xml:space="preserve"> </w:t>
      </w:r>
      <w:r w:rsidRPr="00CA1B68">
        <w:rPr>
          <w:rFonts w:ascii="仿宋" w:eastAsia="仿宋" w:hAnsi="仿宋" w:hint="eastAsia"/>
          <w:sz w:val="28"/>
          <w:szCs w:val="28"/>
        </w:rPr>
        <w:t>根据</w:t>
      </w:r>
      <w:r w:rsidR="003218E1">
        <w:rPr>
          <w:rFonts w:ascii="仿宋" w:eastAsia="仿宋" w:hAnsi="仿宋" w:hint="eastAsia"/>
          <w:sz w:val="28"/>
          <w:szCs w:val="28"/>
        </w:rPr>
        <w:t>辽宁省海参行业协会</w:t>
      </w:r>
      <w:r w:rsidRPr="00CA1B68">
        <w:rPr>
          <w:rFonts w:ascii="仿宋" w:eastAsia="仿宋" w:hAnsi="仿宋" w:hint="eastAsia"/>
          <w:sz w:val="28"/>
          <w:szCs w:val="28"/>
        </w:rPr>
        <w:t>《</w:t>
      </w:r>
      <w:r w:rsidR="003218E1" w:rsidRPr="003218E1">
        <w:rPr>
          <w:rFonts w:ascii="仿宋" w:eastAsia="仿宋" w:hAnsi="仿宋" w:hint="eastAsia"/>
          <w:sz w:val="28"/>
          <w:szCs w:val="28"/>
        </w:rPr>
        <w:t>关于下发 2025 年辽宁省海参行业协会团体标准工作计划的通知</w:t>
      </w:r>
      <w:r w:rsidRPr="00CA1B68">
        <w:rPr>
          <w:rFonts w:ascii="仿宋" w:eastAsia="仿宋" w:hAnsi="仿宋" w:hint="eastAsia"/>
          <w:sz w:val="28"/>
          <w:szCs w:val="28"/>
        </w:rPr>
        <w:t>》文件精神，由</w:t>
      </w:r>
      <w:r w:rsidR="00CA1B68" w:rsidRPr="00CA1B68">
        <w:rPr>
          <w:rFonts w:ascii="仿宋" w:eastAsia="仿宋" w:hAnsi="仿宋" w:hint="eastAsia"/>
          <w:sz w:val="28"/>
          <w:szCs w:val="28"/>
        </w:rPr>
        <w:t>大连产品质量检验检测研究院有限公司提出</w:t>
      </w:r>
      <w:r w:rsidRPr="00CA1B68">
        <w:rPr>
          <w:rFonts w:ascii="仿宋" w:eastAsia="仿宋" w:hAnsi="仿宋" w:hint="eastAsia"/>
          <w:sz w:val="28"/>
          <w:szCs w:val="28"/>
        </w:rPr>
        <w:t>的团体标准《</w:t>
      </w:r>
      <w:r w:rsidR="003218E1">
        <w:rPr>
          <w:rFonts w:ascii="仿宋" w:eastAsia="仿宋" w:hAnsi="仿宋" w:hint="eastAsia"/>
          <w:sz w:val="28"/>
          <w:szCs w:val="28"/>
        </w:rPr>
        <w:t>海参中麦芽糊精、糖醇、食糖类物质的定性检测方法</w:t>
      </w:r>
      <w:r w:rsidRPr="00CA1B68">
        <w:rPr>
          <w:rFonts w:ascii="仿宋" w:eastAsia="仿宋" w:hAnsi="仿宋" w:hint="eastAsia"/>
          <w:sz w:val="28"/>
          <w:szCs w:val="28"/>
        </w:rPr>
        <w:t>》（项目编号：</w:t>
      </w:r>
      <w:r w:rsidR="003218E1" w:rsidRPr="003218E1">
        <w:rPr>
          <w:rFonts w:ascii="仿宋" w:eastAsia="仿宋" w:hAnsi="仿宋" w:cs="宋体" w:hint="eastAsia"/>
          <w:color w:val="000000"/>
          <w:kern w:val="0"/>
          <w:sz w:val="28"/>
          <w:szCs w:val="28"/>
        </w:rPr>
        <w:t>T/LNHX 004-2025</w:t>
      </w:r>
      <w:r w:rsidRPr="00CA1B68">
        <w:rPr>
          <w:rFonts w:ascii="仿宋" w:eastAsia="仿宋" w:hAnsi="仿宋" w:hint="eastAsia"/>
          <w:sz w:val="28"/>
          <w:szCs w:val="28"/>
        </w:rPr>
        <w:t>）获批立项。</w:t>
      </w:r>
    </w:p>
    <w:p w:rsidR="004A71C0" w:rsidRDefault="00FA7547">
      <w:pPr>
        <w:ind w:firstLineChars="200" w:firstLine="562"/>
        <w:rPr>
          <w:rFonts w:ascii="仿宋_GB2312" w:eastAsia="仿宋_GB2312" w:hAnsi="宋体"/>
          <w:color w:val="000000"/>
          <w:sz w:val="28"/>
          <w:szCs w:val="28"/>
        </w:rPr>
      </w:pPr>
      <w:r>
        <w:rPr>
          <w:rFonts w:ascii="仿宋_GB2312" w:eastAsia="仿宋_GB2312" w:hAnsi="宋体" w:hint="eastAsia"/>
          <w:b/>
          <w:color w:val="000000"/>
          <w:sz w:val="28"/>
          <w:szCs w:val="28"/>
        </w:rPr>
        <w:t>（二） 简要起草过程</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1.成立标准制定工作组</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月9日-</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日，标准制定任务下达后，首先确定了工作组的主要组成人员及人员分工，主要由从事标准制修订、检测分析的专业研究人员组成；召开了标准起草会议，项目负责人对标准的立项情况做了详细介绍，制定了标准研制的总体思路和框架。</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2.查询相关标准和文献资料</w:t>
      </w:r>
    </w:p>
    <w:p w:rsidR="004A71C0" w:rsidRDefault="00FA7547" w:rsidP="003218E1">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月1</w:t>
      </w:r>
      <w:r w:rsidR="00CA1B68">
        <w:rPr>
          <w:rFonts w:ascii="仿宋_GB2312" w:eastAsia="仿宋_GB2312" w:hAnsi="宋体" w:hint="eastAsia"/>
          <w:color w:val="000000"/>
          <w:sz w:val="28"/>
          <w:szCs w:val="28"/>
        </w:rPr>
        <w:t>1</w:t>
      </w:r>
      <w:r>
        <w:rPr>
          <w:rFonts w:ascii="仿宋_GB2312" w:eastAsia="仿宋_GB2312" w:hAnsi="宋体" w:hint="eastAsia"/>
          <w:color w:val="000000"/>
          <w:sz w:val="28"/>
          <w:szCs w:val="28"/>
        </w:rPr>
        <w:t>日-</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日，工作组收集相关材料，查阅研读我国</w:t>
      </w:r>
      <w:r w:rsidR="003218E1" w:rsidRPr="003218E1">
        <w:rPr>
          <w:rFonts w:ascii="仿宋_GB2312" w:eastAsia="仿宋_GB2312" w:hAnsi="宋体" w:hint="eastAsia"/>
          <w:color w:val="000000"/>
          <w:sz w:val="28"/>
          <w:szCs w:val="28"/>
        </w:rPr>
        <w:t>海参中麦芽糊精、糖醇、食糖类物质的定性检测方法</w:t>
      </w:r>
      <w:r>
        <w:rPr>
          <w:rFonts w:ascii="仿宋_GB2312" w:eastAsia="仿宋_GB2312" w:hAnsi="宋体" w:hint="eastAsia"/>
          <w:color w:val="000000"/>
          <w:sz w:val="28"/>
          <w:szCs w:val="28"/>
        </w:rPr>
        <w:t>的检测等方法标准以及科技文献资料，并制定了初步的标准编制工作计划。</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3.研究建立快速检测方法，开展性能指标试验</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sidR="00CA1B68">
        <w:rPr>
          <w:rFonts w:ascii="仿宋_GB2312" w:eastAsia="仿宋_GB2312" w:hAnsi="宋体" w:hint="eastAsia"/>
          <w:color w:val="000000"/>
          <w:sz w:val="28"/>
          <w:szCs w:val="28"/>
        </w:rPr>
        <w:t>11</w:t>
      </w:r>
      <w:r>
        <w:rPr>
          <w:rFonts w:ascii="仿宋_GB2312" w:eastAsia="仿宋_GB2312" w:hAnsi="宋体" w:hint="eastAsia"/>
          <w:color w:val="000000"/>
          <w:sz w:val="28"/>
          <w:szCs w:val="28"/>
        </w:rPr>
        <w:t>月21日，工作组按照计划任务书的要求，结合制定标准的要求，研究建立</w:t>
      </w:r>
      <w:r w:rsidR="00A50944">
        <w:rPr>
          <w:rFonts w:ascii="仿宋_GB2312" w:eastAsia="仿宋_GB2312" w:hAnsi="宋体" w:hint="eastAsia"/>
          <w:color w:val="000000"/>
          <w:sz w:val="28"/>
          <w:szCs w:val="28"/>
        </w:rPr>
        <w:t>测定方法的实验方案，并将优化后的</w:t>
      </w:r>
      <w:r>
        <w:rPr>
          <w:rFonts w:ascii="仿宋_GB2312" w:eastAsia="仿宋_GB2312" w:hAnsi="宋体" w:hint="eastAsia"/>
          <w:color w:val="000000"/>
          <w:sz w:val="28"/>
          <w:szCs w:val="28"/>
        </w:rPr>
        <w:t>检测方法的各项性能指标进行试验，确定</w:t>
      </w:r>
      <w:r w:rsidR="00CA1B68">
        <w:rPr>
          <w:rFonts w:ascii="仿宋_GB2312" w:eastAsia="仿宋_GB2312" w:hAnsi="宋体" w:hint="eastAsia"/>
          <w:color w:val="000000"/>
          <w:sz w:val="28"/>
          <w:szCs w:val="28"/>
        </w:rPr>
        <w:t>标准所需各种</w:t>
      </w:r>
      <w:r>
        <w:rPr>
          <w:rFonts w:ascii="仿宋_GB2312" w:eastAsia="仿宋_GB2312" w:hAnsi="宋体" w:hint="eastAsia"/>
          <w:color w:val="000000"/>
          <w:sz w:val="28"/>
          <w:szCs w:val="28"/>
        </w:rPr>
        <w:t>指标。使建立的检测方法的各项技术参数满足</w:t>
      </w:r>
      <w:r w:rsidR="00A50944">
        <w:rPr>
          <w:rFonts w:ascii="仿宋_GB2312" w:eastAsia="仿宋_GB2312" w:hAnsi="宋体" w:hint="eastAsia"/>
          <w:color w:val="000000"/>
          <w:sz w:val="28"/>
          <w:szCs w:val="28"/>
        </w:rPr>
        <w:t>食品</w:t>
      </w:r>
      <w:r>
        <w:rPr>
          <w:rFonts w:ascii="仿宋_GB2312" w:eastAsia="仿宋_GB2312" w:hAnsi="宋体" w:hint="eastAsia"/>
          <w:color w:val="000000"/>
          <w:sz w:val="28"/>
          <w:szCs w:val="28"/>
        </w:rPr>
        <w:t>的日常检测需要。</w:t>
      </w:r>
    </w:p>
    <w:p w:rsidR="004A71C0" w:rsidRDefault="00FA7547">
      <w:pPr>
        <w:ind w:firstLineChars="200" w:firstLine="560"/>
        <w:rPr>
          <w:rFonts w:ascii="仿宋_GB2312" w:eastAsia="仿宋_GB2312" w:hAnsi="宋体"/>
          <w:b/>
          <w:bCs/>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b/>
          <w:bCs/>
          <w:color w:val="000000"/>
          <w:sz w:val="28"/>
          <w:szCs w:val="28"/>
        </w:rPr>
        <w:t>形成征求意见稿及编制说明</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11</w:t>
      </w:r>
      <w:r>
        <w:rPr>
          <w:rFonts w:ascii="仿宋_GB2312" w:eastAsia="仿宋_GB2312" w:hAnsi="宋体" w:hint="eastAsia"/>
          <w:color w:val="000000"/>
          <w:sz w:val="28"/>
          <w:szCs w:val="28"/>
        </w:rPr>
        <w:t>月21日-</w:t>
      </w:r>
      <w:r w:rsidR="00CA1B68">
        <w:rPr>
          <w:rFonts w:ascii="仿宋_GB2312" w:eastAsia="仿宋_GB2312" w:hAnsi="宋体" w:hint="eastAsia"/>
          <w:color w:val="000000"/>
          <w:sz w:val="28"/>
          <w:szCs w:val="28"/>
        </w:rPr>
        <w:t>12</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日，工作组查阅、收集和整理了国内外有关研究进展和专利、标准、法规等文献资料。根据实验结果，工作组共同讨论起草形成了《</w:t>
      </w:r>
      <w:r w:rsidR="003218E1">
        <w:rPr>
          <w:rFonts w:ascii="仿宋_GB2312" w:eastAsia="仿宋_GB2312" w:hAnsi="宋体" w:hint="eastAsia"/>
          <w:color w:val="000000"/>
          <w:sz w:val="28"/>
          <w:szCs w:val="28"/>
        </w:rPr>
        <w:t>海参中麦芽糊精、糖醇、食糖类物质的定性检测方法</w:t>
      </w:r>
      <w:r>
        <w:rPr>
          <w:rFonts w:ascii="仿宋_GB2312" w:eastAsia="仿宋_GB2312" w:hAnsi="宋体" w:hint="eastAsia"/>
          <w:color w:val="000000"/>
          <w:sz w:val="28"/>
          <w:szCs w:val="28"/>
        </w:rPr>
        <w:t>》团体标准的技术框架和主要内容，初步形成了标准草案。经过多次讨论、研究、征求意见，对存在的问题进行了修订，初步确定了标准初稿并对初稿进行多次反复修改，形成征求意见稿及编制说明。</w:t>
      </w:r>
    </w:p>
    <w:p w:rsidR="004A71C0" w:rsidRDefault="00FA7547">
      <w:pPr>
        <w:numPr>
          <w:ilvl w:val="0"/>
          <w:numId w:val="1"/>
        </w:numPr>
        <w:rPr>
          <w:rFonts w:ascii="仿宋_GB2312" w:eastAsia="仿宋_GB2312"/>
          <w:b/>
          <w:sz w:val="28"/>
          <w:szCs w:val="28"/>
        </w:rPr>
      </w:pPr>
      <w:r>
        <w:rPr>
          <w:rFonts w:ascii="仿宋_GB2312" w:eastAsia="仿宋_GB2312" w:hAnsi="宋体" w:cs="宋体" w:hint="eastAsia"/>
          <w:b/>
          <w:color w:val="000000"/>
          <w:sz w:val="28"/>
          <w:szCs w:val="28"/>
        </w:rPr>
        <w:t>标准制定的意义</w:t>
      </w:r>
    </w:p>
    <w:p w:rsidR="003218E1" w:rsidRPr="003218E1" w:rsidRDefault="003218E1" w:rsidP="003218E1">
      <w:pPr>
        <w:ind w:firstLineChars="200" w:firstLine="560"/>
        <w:rPr>
          <w:rFonts w:ascii="仿宋_GB2312" w:eastAsia="仿宋_GB2312" w:hAnsi="宋体"/>
          <w:color w:val="000000"/>
          <w:sz w:val="28"/>
          <w:szCs w:val="28"/>
        </w:rPr>
      </w:pPr>
      <w:r w:rsidRPr="003218E1">
        <w:rPr>
          <w:rFonts w:ascii="仿宋_GB2312" w:eastAsia="仿宋_GB2312" w:hAnsi="宋体" w:hint="eastAsia"/>
          <w:color w:val="000000"/>
          <w:sz w:val="28"/>
          <w:szCs w:val="28"/>
        </w:rPr>
        <w:t>制定《海参中麦芽糊精、糖醇、食糖类物质的定性检测方法》团体标准，主要意义在于：</w:t>
      </w:r>
    </w:p>
    <w:p w:rsidR="003218E1" w:rsidRPr="003218E1" w:rsidRDefault="003218E1" w:rsidP="003218E1">
      <w:pPr>
        <w:ind w:firstLineChars="200" w:firstLine="560"/>
        <w:rPr>
          <w:rFonts w:ascii="仿宋_GB2312" w:eastAsia="仿宋_GB2312" w:hAnsi="宋体"/>
          <w:color w:val="000000"/>
          <w:sz w:val="28"/>
          <w:szCs w:val="28"/>
        </w:rPr>
      </w:pPr>
      <w:r w:rsidRPr="003218E1">
        <w:rPr>
          <w:rFonts w:ascii="仿宋_GB2312" w:eastAsia="仿宋_GB2312" w:hAnsi="宋体" w:hint="eastAsia"/>
          <w:color w:val="000000"/>
          <w:sz w:val="28"/>
          <w:szCs w:val="28"/>
        </w:rPr>
        <w:t>1. 应对行业痛点，打击掺杂使假：针对海参产品中非法添加麦芽糊精、糖醇等廉价物质进行增重、</w:t>
      </w:r>
      <w:proofErr w:type="gramStart"/>
      <w:r w:rsidRPr="003218E1">
        <w:rPr>
          <w:rFonts w:ascii="仿宋_GB2312" w:eastAsia="仿宋_GB2312" w:hAnsi="宋体" w:hint="eastAsia"/>
          <w:color w:val="000000"/>
          <w:sz w:val="28"/>
          <w:szCs w:val="28"/>
        </w:rPr>
        <w:t>增糖和</w:t>
      </w:r>
      <w:proofErr w:type="gramEnd"/>
      <w:r w:rsidRPr="003218E1">
        <w:rPr>
          <w:rFonts w:ascii="仿宋_GB2312" w:eastAsia="仿宋_GB2312" w:hAnsi="宋体" w:hint="eastAsia"/>
          <w:color w:val="000000"/>
          <w:sz w:val="28"/>
          <w:szCs w:val="28"/>
        </w:rPr>
        <w:t>改善外观以牟利的行业乱象，本标准旨在提供快速、准确的定性筛查手段，为市场监管和行业自律提供直接技术武器。</w:t>
      </w:r>
    </w:p>
    <w:p w:rsidR="003218E1" w:rsidRPr="003218E1" w:rsidRDefault="003218E1" w:rsidP="003218E1">
      <w:pPr>
        <w:ind w:firstLineChars="200" w:firstLine="560"/>
        <w:rPr>
          <w:rFonts w:ascii="仿宋_GB2312" w:eastAsia="仿宋_GB2312" w:hAnsi="宋体"/>
          <w:color w:val="000000"/>
          <w:sz w:val="28"/>
          <w:szCs w:val="28"/>
        </w:rPr>
      </w:pPr>
      <w:r w:rsidRPr="003218E1">
        <w:rPr>
          <w:rFonts w:ascii="仿宋_GB2312" w:eastAsia="仿宋_GB2312" w:hAnsi="宋体" w:hint="eastAsia"/>
          <w:color w:val="000000"/>
          <w:sz w:val="28"/>
          <w:szCs w:val="28"/>
        </w:rPr>
        <w:t>2. 填补标准空白，建立统一依据：目前缺乏针对海参这类高价值干制水产品中特定添加糖类物质的专项检测标准。本标准的制定将填补这一方法空白，为判定海参是否被违规“加料”提供公认、统一的技术依据。</w:t>
      </w:r>
    </w:p>
    <w:p w:rsidR="004A71C0" w:rsidRDefault="003218E1" w:rsidP="003218E1">
      <w:pPr>
        <w:ind w:firstLineChars="200" w:firstLine="560"/>
        <w:rPr>
          <w:rFonts w:ascii="仿宋_GB2312" w:eastAsia="仿宋_GB2312" w:hAnsi="宋体"/>
          <w:color w:val="000000"/>
          <w:sz w:val="28"/>
          <w:szCs w:val="28"/>
        </w:rPr>
      </w:pPr>
      <w:r w:rsidRPr="003218E1">
        <w:rPr>
          <w:rFonts w:ascii="仿宋_GB2312" w:eastAsia="仿宋_GB2312" w:hAnsi="宋体" w:hint="eastAsia"/>
          <w:color w:val="000000"/>
          <w:sz w:val="28"/>
          <w:szCs w:val="28"/>
        </w:rPr>
        <w:t>3. 引导规范生产，保障消费权益：通过建立明确的检测方法与判定标准，可以引导生产企业规范加工工艺，从源头保障产品纯正。同时，能有效维护消费者知情权与健康权益，促进海参产业健康、诚信、可持续发展。</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lastRenderedPageBreak/>
        <w:t>与我国、国内有关法律法规和其他标准的关系</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标准所确定的各项技术指标和内容符合我国现行的有关方针、政策，并与相关法律、法规、标准吻合。</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本标准颁布实施后，更有利于监管部门高质量地监管食品安全，与现行的法律、法规及其他国家标准没有矛盾</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t>国外、国内有关法律、法规和标准情况的说明</w:t>
      </w:r>
    </w:p>
    <w:p w:rsidR="004A71C0" w:rsidRDefault="00FA7547">
      <w:pPr>
        <w:ind w:firstLine="601"/>
        <w:rPr>
          <w:rFonts w:ascii="仿宋_GB2312" w:eastAsia="仿宋_GB2312" w:hAnsi="宋体"/>
          <w:sz w:val="28"/>
          <w:szCs w:val="28"/>
        </w:rPr>
      </w:pPr>
      <w:r>
        <w:rPr>
          <w:rFonts w:ascii="仿宋_GB2312" w:eastAsia="仿宋_GB2312" w:hAnsi="宋体" w:hint="eastAsia"/>
          <w:sz w:val="28"/>
          <w:szCs w:val="28"/>
        </w:rPr>
        <w:t>该标准内容符合国内法律、法规和标准要求、未涉及国外有关法律、法规和标准。</w:t>
      </w:r>
    </w:p>
    <w:p w:rsidR="004A71C0" w:rsidRDefault="00FA7547">
      <w:pPr>
        <w:ind w:left="630"/>
        <w:rPr>
          <w:rFonts w:ascii="仿宋_GB2312" w:eastAsia="仿宋_GB2312" w:hAnsi="宋体"/>
          <w:sz w:val="28"/>
          <w:szCs w:val="28"/>
        </w:rPr>
      </w:pPr>
      <w:r>
        <w:rPr>
          <w:rFonts w:ascii="仿宋_GB2312" w:eastAsia="仿宋_GB2312" w:hint="eastAsia"/>
          <w:b/>
          <w:sz w:val="28"/>
          <w:szCs w:val="28"/>
        </w:rPr>
        <w:t xml:space="preserve"> 五、标准的制定原则</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本标准的格式根据GB/T 1.1-2020《标准化工作导则 第1部分： 标准的结构和编写》及GB/T 20001.4-2015《标准编写规则 第4部分 试验方法标准》的规定编写，引用文件完全符合相关的国家标准，所引用的规范性文件都是现行有效，没有违反现行法律、法规和有关国家强制性标准。</w:t>
      </w:r>
    </w:p>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t>五、确定各项技术内容（技术指标、参数、公式、试验方法、检验规则等）的依据，与相关标准的对比情况，与国际、国内标准不一致的，应当提供科学依据</w:t>
      </w:r>
    </w:p>
    <w:p w:rsidR="003218E1" w:rsidRPr="003218E1" w:rsidRDefault="003218E1" w:rsidP="003218E1">
      <w:pPr>
        <w:ind w:firstLineChars="200" w:firstLine="560"/>
        <w:rPr>
          <w:rFonts w:ascii="仿宋_GB2312" w:eastAsia="仿宋_GB2312" w:hAnsi="宋体"/>
          <w:sz w:val="28"/>
          <w:szCs w:val="28"/>
        </w:rPr>
      </w:pPr>
      <w:r w:rsidRPr="003218E1">
        <w:rPr>
          <w:rFonts w:ascii="仿宋_GB2312" w:eastAsia="仿宋_GB2312" w:hAnsi="宋体" w:hint="eastAsia"/>
          <w:sz w:val="28"/>
          <w:szCs w:val="28"/>
        </w:rPr>
        <w:t>针对《海参中麦芽糊精、糖醇、食糖类物质的定性检测方法》团体标准，其核心技术内容确定依据如下：</w:t>
      </w:r>
    </w:p>
    <w:p w:rsidR="003218E1" w:rsidRPr="003218E1" w:rsidRDefault="003218E1" w:rsidP="003218E1">
      <w:pPr>
        <w:ind w:firstLineChars="200" w:firstLine="560"/>
        <w:rPr>
          <w:rFonts w:ascii="仿宋_GB2312" w:eastAsia="仿宋_GB2312" w:hAnsi="宋体"/>
          <w:sz w:val="28"/>
          <w:szCs w:val="28"/>
        </w:rPr>
      </w:pPr>
      <w:r>
        <w:rPr>
          <w:rFonts w:ascii="仿宋_GB2312" w:eastAsia="仿宋_GB2312" w:hAnsi="宋体" w:hint="eastAsia"/>
          <w:sz w:val="28"/>
          <w:szCs w:val="28"/>
        </w:rPr>
        <w:t>1.</w:t>
      </w:r>
      <w:r w:rsidRPr="003218E1">
        <w:rPr>
          <w:rFonts w:ascii="仿宋_GB2312" w:eastAsia="仿宋_GB2312" w:hAnsi="宋体" w:hint="eastAsia"/>
          <w:sz w:val="28"/>
          <w:szCs w:val="28"/>
        </w:rPr>
        <w:t>检测原理与方法选择：标准组合了碘反应、α-萘酚反应、</w:t>
      </w:r>
      <w:proofErr w:type="gramStart"/>
      <w:r w:rsidRPr="003218E1">
        <w:rPr>
          <w:rFonts w:ascii="仿宋_GB2312" w:eastAsia="仿宋_GB2312" w:hAnsi="宋体" w:hint="eastAsia"/>
          <w:sz w:val="28"/>
          <w:szCs w:val="28"/>
        </w:rPr>
        <w:t>间苯二酚</w:t>
      </w:r>
      <w:proofErr w:type="gramEnd"/>
      <w:r w:rsidRPr="003218E1">
        <w:rPr>
          <w:rFonts w:ascii="仿宋_GB2312" w:eastAsia="仿宋_GB2312" w:hAnsi="宋体" w:hint="eastAsia"/>
          <w:sz w:val="28"/>
          <w:szCs w:val="28"/>
        </w:rPr>
        <w:t>反应和苯酚-硫酸反应四种经典化学显色法。依据是这些方法基于目标物（多糖、还原糖、酮糖等）不同的特征官能团或化学性质，</w:t>
      </w:r>
      <w:r w:rsidRPr="003218E1">
        <w:rPr>
          <w:rFonts w:ascii="仿宋_GB2312" w:eastAsia="仿宋_GB2312" w:hAnsi="宋体" w:hint="eastAsia"/>
          <w:sz w:val="28"/>
          <w:szCs w:val="28"/>
        </w:rPr>
        <w:lastRenderedPageBreak/>
        <w:t>通过互补的显色现象（如颜色、环状界面），能在不使用大型仪器的情况下，实现对麦芽糊精、糖醇、单糖等不同类别物质的初步区分与筛查，方法快速、成本低、易于操作。</w:t>
      </w:r>
    </w:p>
    <w:p w:rsidR="003218E1" w:rsidRPr="003218E1" w:rsidRDefault="003218E1" w:rsidP="003218E1">
      <w:pPr>
        <w:ind w:firstLineChars="200" w:firstLine="560"/>
        <w:rPr>
          <w:rFonts w:ascii="仿宋_GB2312" w:eastAsia="仿宋_GB2312" w:hAnsi="宋体"/>
          <w:sz w:val="28"/>
          <w:szCs w:val="28"/>
        </w:rPr>
      </w:pPr>
      <w:r>
        <w:rPr>
          <w:rFonts w:ascii="仿宋_GB2312" w:eastAsia="仿宋_GB2312" w:hAnsi="宋体" w:hint="eastAsia"/>
          <w:sz w:val="28"/>
          <w:szCs w:val="28"/>
        </w:rPr>
        <w:t>2.</w:t>
      </w:r>
      <w:r w:rsidRPr="003218E1">
        <w:rPr>
          <w:rFonts w:ascii="仿宋_GB2312" w:eastAsia="仿宋_GB2312" w:hAnsi="宋体" w:hint="eastAsia"/>
          <w:sz w:val="28"/>
          <w:szCs w:val="28"/>
        </w:rPr>
        <w:t>样液制备：采用简单的加水震荡提取、静置后取上清液的方式。依据是目标添加物（麦芽糊精、糖、糖醇）均为水溶性良好的物质，该步骤能</w:t>
      </w:r>
      <w:proofErr w:type="gramStart"/>
      <w:r w:rsidRPr="003218E1">
        <w:rPr>
          <w:rFonts w:ascii="仿宋_GB2312" w:eastAsia="仿宋_GB2312" w:hAnsi="宋体" w:hint="eastAsia"/>
          <w:sz w:val="28"/>
          <w:szCs w:val="28"/>
        </w:rPr>
        <w:t>有效将</w:t>
      </w:r>
      <w:proofErr w:type="gramEnd"/>
      <w:r w:rsidRPr="003218E1">
        <w:rPr>
          <w:rFonts w:ascii="仿宋_GB2312" w:eastAsia="仿宋_GB2312" w:hAnsi="宋体" w:hint="eastAsia"/>
          <w:sz w:val="28"/>
          <w:szCs w:val="28"/>
        </w:rPr>
        <w:t>其从海参基质中溶解出来，满足后续化学反应的需要，且流程简洁，适合快速筛查。</w:t>
      </w:r>
    </w:p>
    <w:p w:rsidR="003218E1" w:rsidRPr="003218E1" w:rsidRDefault="003218E1" w:rsidP="003218E1">
      <w:pPr>
        <w:ind w:firstLineChars="200" w:firstLine="560"/>
        <w:rPr>
          <w:rFonts w:ascii="仿宋_GB2312" w:eastAsia="仿宋_GB2312" w:hAnsi="宋体" w:hint="eastAsia"/>
          <w:sz w:val="28"/>
          <w:szCs w:val="28"/>
        </w:rPr>
      </w:pPr>
      <w:r>
        <w:rPr>
          <w:rFonts w:ascii="仿宋_GB2312" w:eastAsia="仿宋_GB2312" w:hAnsi="宋体" w:hint="eastAsia"/>
          <w:sz w:val="28"/>
          <w:szCs w:val="28"/>
        </w:rPr>
        <w:t>3.</w:t>
      </w:r>
      <w:r w:rsidRPr="003218E1">
        <w:rPr>
          <w:rFonts w:ascii="仿宋_GB2312" w:eastAsia="仿宋_GB2312" w:hAnsi="宋体" w:hint="eastAsia"/>
          <w:sz w:val="28"/>
          <w:szCs w:val="28"/>
        </w:rPr>
        <w:t>具体分析步骤与判定依据：</w:t>
      </w:r>
    </w:p>
    <w:p w:rsidR="003218E1" w:rsidRPr="003218E1" w:rsidRDefault="003218E1" w:rsidP="003218E1">
      <w:pPr>
        <w:ind w:firstLineChars="200" w:firstLine="560"/>
        <w:rPr>
          <w:rFonts w:ascii="仿宋_GB2312" w:eastAsia="仿宋_GB2312" w:hAnsi="宋体" w:hint="eastAsia"/>
          <w:sz w:val="28"/>
          <w:szCs w:val="28"/>
        </w:rPr>
      </w:pPr>
      <w:r w:rsidRPr="003218E1">
        <w:rPr>
          <w:rFonts w:ascii="仿宋_GB2312" w:eastAsia="仿宋_GB2312" w:hAnsi="宋体" w:hint="eastAsia"/>
          <w:sz w:val="28"/>
          <w:szCs w:val="28"/>
        </w:rPr>
        <w:t>操作参数：各反应中试剂加入量（如“1滴”、“4滴”、“2mL”）及观察条件（“沿管壁缓缓加入”、“在白色背景下观察”）均依据经典化学实验手册和预实验优化确定，以确保显色反应明显、稳定且具有区分度。</w:t>
      </w:r>
    </w:p>
    <w:p w:rsidR="003218E1" w:rsidRPr="003218E1" w:rsidRDefault="003218E1" w:rsidP="003218E1">
      <w:pPr>
        <w:ind w:firstLineChars="200" w:firstLine="560"/>
        <w:rPr>
          <w:rFonts w:ascii="仿宋_GB2312" w:eastAsia="仿宋_GB2312" w:hAnsi="宋体"/>
          <w:sz w:val="28"/>
          <w:szCs w:val="28"/>
        </w:rPr>
      </w:pPr>
      <w:r w:rsidRPr="003218E1">
        <w:rPr>
          <w:rFonts w:ascii="仿宋_GB2312" w:eastAsia="仿宋_GB2312" w:hAnsi="宋体" w:hint="eastAsia"/>
          <w:sz w:val="28"/>
          <w:szCs w:val="28"/>
        </w:rPr>
        <w:t>结果判定：判定表（如</w:t>
      </w:r>
      <w:proofErr w:type="gramStart"/>
      <w:r w:rsidRPr="003218E1">
        <w:rPr>
          <w:rFonts w:ascii="仿宋_GB2312" w:eastAsia="仿宋_GB2312" w:hAnsi="宋体" w:hint="eastAsia"/>
          <w:sz w:val="28"/>
          <w:szCs w:val="28"/>
        </w:rPr>
        <w:t>碘反应</w:t>
      </w:r>
      <w:proofErr w:type="gramEnd"/>
      <w:r w:rsidRPr="003218E1">
        <w:rPr>
          <w:rFonts w:ascii="仿宋_GB2312" w:eastAsia="仿宋_GB2312" w:hAnsi="宋体" w:hint="eastAsia"/>
          <w:sz w:val="28"/>
          <w:szCs w:val="28"/>
        </w:rPr>
        <w:t>中棕色判为麦芽糊精，浅黄色判为可能含糖醇或单糖）的依据是不同类别物质与特定试剂反应产生的特征颜色或现象。这源自其化学结构差异，例如碘与直链/支链淀粉（麦芽糊精）的特征络合色，以及糖醇与浓硫酸、特定酚类试剂的脱水缩合显色。</w:t>
      </w:r>
    </w:p>
    <w:p w:rsidR="004A71C0" w:rsidRDefault="003218E1" w:rsidP="003218E1">
      <w:pPr>
        <w:ind w:firstLineChars="200" w:firstLine="560"/>
        <w:rPr>
          <w:rFonts w:ascii="仿宋_GB2312" w:eastAsia="仿宋_GB2312" w:hAnsi="宋体"/>
          <w:sz w:val="28"/>
          <w:szCs w:val="28"/>
        </w:rPr>
      </w:pPr>
      <w:r>
        <w:rPr>
          <w:rFonts w:ascii="仿宋_GB2312" w:eastAsia="仿宋_GB2312" w:hAnsi="宋体" w:hint="eastAsia"/>
          <w:sz w:val="28"/>
          <w:szCs w:val="28"/>
        </w:rPr>
        <w:t>4.</w:t>
      </w:r>
      <w:r w:rsidRPr="003218E1">
        <w:rPr>
          <w:rFonts w:ascii="仿宋_GB2312" w:eastAsia="仿宋_GB2312" w:hAnsi="宋体" w:hint="eastAsia"/>
          <w:sz w:val="28"/>
          <w:szCs w:val="28"/>
        </w:rPr>
        <w:t>整体技术路线：采用多种化学</w:t>
      </w:r>
      <w:proofErr w:type="gramStart"/>
      <w:r w:rsidRPr="003218E1">
        <w:rPr>
          <w:rFonts w:ascii="仿宋_GB2312" w:eastAsia="仿宋_GB2312" w:hAnsi="宋体" w:hint="eastAsia"/>
          <w:sz w:val="28"/>
          <w:szCs w:val="28"/>
        </w:rPr>
        <w:t>显色法联用</w:t>
      </w:r>
      <w:proofErr w:type="gramEnd"/>
      <w:r w:rsidRPr="003218E1">
        <w:rPr>
          <w:rFonts w:ascii="仿宋_GB2312" w:eastAsia="仿宋_GB2312" w:hAnsi="宋体" w:hint="eastAsia"/>
          <w:sz w:val="28"/>
          <w:szCs w:val="28"/>
        </w:rPr>
        <w:t>而非单一方法。主要依据是单一反应无法区分所有目标物（例如，苯酚-硫酸法对多种糖类均呈阳性），需通过反应组合与显色模式的交叉比对（如结合</w:t>
      </w:r>
      <w:proofErr w:type="gramStart"/>
      <w:r w:rsidRPr="003218E1">
        <w:rPr>
          <w:rFonts w:ascii="仿宋_GB2312" w:eastAsia="仿宋_GB2312" w:hAnsi="宋体" w:hint="eastAsia"/>
          <w:sz w:val="28"/>
          <w:szCs w:val="28"/>
        </w:rPr>
        <w:t>碘反应</w:t>
      </w:r>
      <w:proofErr w:type="gramEnd"/>
      <w:r w:rsidRPr="003218E1">
        <w:rPr>
          <w:rFonts w:ascii="仿宋_GB2312" w:eastAsia="仿宋_GB2312" w:hAnsi="宋体" w:hint="eastAsia"/>
          <w:sz w:val="28"/>
          <w:szCs w:val="28"/>
        </w:rPr>
        <w:t>阴性但α-萘酚反应阳性来推断某些糖醇），以提高筛查的特异性和指向性，满足海参加工中复杂添加情况的定性鉴别需求。</w:t>
      </w:r>
    </w:p>
    <w:p w:rsidR="004A71C0" w:rsidRPr="003218E1" w:rsidRDefault="003218E1" w:rsidP="003218E1">
      <w:pPr>
        <w:widowControl/>
        <w:ind w:firstLineChars="200" w:firstLine="562"/>
        <w:jc w:val="left"/>
        <w:rPr>
          <w:rFonts w:ascii="仿宋" w:eastAsia="仿宋" w:hAnsi="仿宋" w:cs="仿宋"/>
          <w:sz w:val="28"/>
          <w:szCs w:val="28"/>
        </w:rPr>
      </w:pPr>
      <w:r>
        <w:rPr>
          <w:rFonts w:ascii="仿宋" w:eastAsia="仿宋" w:hAnsi="仿宋" w:cs="仿宋" w:hint="eastAsia"/>
          <w:b/>
          <w:bCs/>
          <w:color w:val="000000"/>
          <w:kern w:val="0"/>
          <w:sz w:val="28"/>
          <w:szCs w:val="28"/>
          <w:lang w:bidi="ar"/>
        </w:rPr>
        <w:lastRenderedPageBreak/>
        <w:t>5</w:t>
      </w:r>
      <w:r w:rsidR="00B1350E">
        <w:rPr>
          <w:rFonts w:ascii="仿宋" w:eastAsia="仿宋" w:hAnsi="仿宋" w:cs="仿宋" w:hint="eastAsia"/>
          <w:b/>
          <w:bCs/>
          <w:color w:val="000000"/>
          <w:kern w:val="0"/>
          <w:sz w:val="28"/>
          <w:szCs w:val="28"/>
          <w:lang w:bidi="ar"/>
        </w:rPr>
        <w:t>.</w:t>
      </w:r>
      <w:bookmarkStart w:id="0" w:name="_GoBack"/>
      <w:r w:rsidR="00FA7547" w:rsidRPr="003218E1">
        <w:rPr>
          <w:rFonts w:ascii="仿宋_GB2312" w:eastAsia="仿宋_GB2312" w:hAnsi="宋体" w:hint="eastAsia"/>
          <w:sz w:val="28"/>
          <w:szCs w:val="28"/>
        </w:rPr>
        <w:t xml:space="preserve">性能指标的确定 </w:t>
      </w:r>
      <w:r w:rsidRPr="003218E1">
        <w:rPr>
          <w:rFonts w:ascii="仿宋_GB2312" w:eastAsia="仿宋_GB2312" w:hAnsi="宋体" w:hint="eastAsia"/>
          <w:sz w:val="28"/>
          <w:szCs w:val="28"/>
        </w:rPr>
        <w:t>：</w:t>
      </w:r>
      <w:bookmarkEnd w:id="0"/>
      <w:r w:rsidR="00FA7547">
        <w:rPr>
          <w:rFonts w:ascii="仿宋" w:eastAsia="仿宋" w:hAnsi="仿宋" w:cs="仿宋" w:hint="eastAsia"/>
          <w:kern w:val="0"/>
          <w:sz w:val="28"/>
          <w:szCs w:val="28"/>
          <w:lang w:bidi="ar"/>
        </w:rPr>
        <w:t>标准完成起草工作后，本标准内容经3 家单位用同一厂家快检试剂验证，结果表明该方法适用于复用餐（饮）具表面阴离子合成洗涤剂的快速检测。</w:t>
      </w:r>
      <w:r w:rsidR="00FA7547">
        <w:rPr>
          <w:rFonts w:ascii="仿宋" w:eastAsia="仿宋" w:hAnsi="仿宋" w:cs="仿宋" w:hint="eastAsia"/>
          <w:color w:val="000000"/>
          <w:kern w:val="0"/>
          <w:sz w:val="28"/>
          <w:szCs w:val="28"/>
          <w:lang w:bidi="ar"/>
        </w:rPr>
        <w:t xml:space="preserve"> </w:t>
      </w:r>
    </w:p>
    <w:p w:rsidR="004A71C0" w:rsidRDefault="00FA7547">
      <w:pPr>
        <w:spacing w:line="360" w:lineRule="auto"/>
        <w:ind w:firstLineChars="200" w:firstLine="562"/>
        <w:rPr>
          <w:rFonts w:ascii="仿宋_GB2312" w:eastAsia="仿宋_GB2312" w:hAnsi="宋体" w:cs="宋体"/>
          <w:b/>
          <w:color w:val="000000"/>
          <w:sz w:val="32"/>
          <w:szCs w:val="32"/>
        </w:rPr>
      </w:pPr>
      <w:r>
        <w:rPr>
          <w:rFonts w:ascii="仿宋_GB2312" w:eastAsia="仿宋_GB2312" w:hAnsi="宋体" w:hint="eastAsia"/>
          <w:b/>
          <w:bCs/>
          <w:sz w:val="28"/>
          <w:szCs w:val="28"/>
        </w:rPr>
        <w:t>六</w:t>
      </w:r>
      <w:r>
        <w:rPr>
          <w:rFonts w:ascii="仿宋_GB2312" w:eastAsia="仿宋_GB2312" w:hAnsi="宋体" w:hint="eastAsia"/>
          <w:sz w:val="28"/>
          <w:szCs w:val="28"/>
        </w:rPr>
        <w:t>、</w:t>
      </w:r>
      <w:r>
        <w:rPr>
          <w:rFonts w:ascii="仿宋_GB2312" w:eastAsia="仿宋_GB2312" w:hAnsi="宋体" w:cs="宋体" w:hint="eastAsia"/>
          <w:b/>
          <w:color w:val="000000"/>
          <w:sz w:val="32"/>
          <w:szCs w:val="32"/>
        </w:rPr>
        <w:t>征求意见的采纳情况及审定情况，重大意见分歧的处理结果和依据；</w:t>
      </w:r>
    </w:p>
    <w:p w:rsidR="004A71C0" w:rsidRDefault="00FA7547">
      <w:pPr>
        <w:ind w:firstLineChars="250" w:firstLine="700"/>
        <w:rPr>
          <w:rFonts w:ascii="仿宋_GB2312" w:eastAsia="仿宋_GB2312"/>
          <w:color w:val="000000"/>
          <w:sz w:val="28"/>
          <w:szCs w:val="28"/>
        </w:rPr>
      </w:pPr>
      <w:r>
        <w:rPr>
          <w:rFonts w:ascii="仿宋_GB2312" w:eastAsia="仿宋_GB2312" w:hint="eastAsia"/>
          <w:i/>
          <w:iCs/>
          <w:color w:val="000000"/>
          <w:sz w:val="28"/>
          <w:szCs w:val="28"/>
        </w:rPr>
        <w:t>征求</w:t>
      </w:r>
      <w:proofErr w:type="gramStart"/>
      <w:r>
        <w:rPr>
          <w:rFonts w:ascii="仿宋_GB2312" w:eastAsia="仿宋_GB2312" w:hint="eastAsia"/>
          <w:i/>
          <w:iCs/>
          <w:color w:val="000000"/>
          <w:sz w:val="28"/>
          <w:szCs w:val="28"/>
        </w:rPr>
        <w:t>意见稿向本</w:t>
      </w:r>
      <w:proofErr w:type="gramEnd"/>
      <w:r>
        <w:rPr>
          <w:rFonts w:ascii="仿宋_GB2312" w:eastAsia="仿宋_GB2312" w:hint="eastAsia"/>
          <w:i/>
          <w:iCs/>
          <w:color w:val="000000"/>
          <w:sz w:val="28"/>
          <w:szCs w:val="28"/>
        </w:rPr>
        <w:t>区域内的企业及相关专家发放... 份,共收回到有效意见 ... 份,意见共有 ..条，其中采纳 ... 条，不采纳 ... 条，部分采纳 ...条。</w:t>
      </w:r>
    </w:p>
    <w:p w:rsidR="004A71C0" w:rsidRDefault="00FA7547">
      <w:pPr>
        <w:shd w:val="clear" w:color="auto" w:fill="FFFFFF"/>
        <w:wordWrap w:val="0"/>
        <w:spacing w:line="440" w:lineRule="atLeast"/>
        <w:ind w:firstLineChars="196" w:firstLine="630"/>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七、标准实施建议；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为保障该团体标准有效实施，建议：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一、广泛宣贯，推动应用：由协会牵头组织专题培训，面向检测机构与企业质检人员深入解读标准，确保准确理解与操作。鼓励监管与行业采信，将其纳入监督抽检技术依据。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二、规范操作，确保质量：各实验室应根据标准建立内部作业指导书，统一操作。首次应用前须完成方法验证，并确保标准品来源可靠。积极组织实验室间比对，保证结果可比性。</w:t>
      </w:r>
    </w:p>
    <w:p w:rsidR="004A71C0"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三、持续改进，动态完善：建立反馈渠道，收集标准应用中的问题，关注非法添加物新动向，为标准未来修订与升级为国家或行业标准奠定基础。</w:t>
      </w:r>
    </w:p>
    <w:p w:rsidR="004A71C0" w:rsidRDefault="00FA7547">
      <w:pPr>
        <w:shd w:val="clear" w:color="auto" w:fill="FFFFFF"/>
        <w:wordWrap w:val="0"/>
        <w:spacing w:line="440" w:lineRule="atLeast"/>
        <w:ind w:firstLineChars="100" w:firstLine="321"/>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 xml:space="preserve"> 八、其他需要说明的事项。</w:t>
      </w:r>
    </w:p>
    <w:p w:rsidR="004A71C0" w:rsidRPr="008F1A7C" w:rsidRDefault="00FA7547" w:rsidP="008F1A7C">
      <w:pPr>
        <w:ind w:firstLineChars="200" w:firstLine="562"/>
        <w:rPr>
          <w:rFonts w:ascii="仿宋_GB2312" w:eastAsia="仿宋_GB2312"/>
          <w:b/>
          <w:sz w:val="28"/>
          <w:szCs w:val="28"/>
        </w:rPr>
      </w:pPr>
      <w:r>
        <w:rPr>
          <w:rFonts w:ascii="仿宋_GB2312" w:eastAsia="仿宋_GB2312" w:hint="eastAsia"/>
          <w:b/>
          <w:sz w:val="28"/>
          <w:szCs w:val="28"/>
        </w:rPr>
        <w:t>无</w:t>
      </w:r>
    </w:p>
    <w:sectPr w:rsidR="004A71C0" w:rsidRPr="008F1A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06950"/>
    <w:multiLevelType w:val="multilevel"/>
    <w:tmpl w:val="07806950"/>
    <w:lvl w:ilvl="0">
      <w:start w:val="2"/>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土老冒豆豆">
    <w15:presenceInfo w15:providerId="WPS Office" w15:userId="4108002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OTJiYjYwZTljYWRhZDdmYzMwZTE5MjQ1ZTJiYWMifQ=="/>
  </w:docVars>
  <w:rsids>
    <w:rsidRoot w:val="396D3A3E"/>
    <w:rsid w:val="00126312"/>
    <w:rsid w:val="001A4F4E"/>
    <w:rsid w:val="002F7ABC"/>
    <w:rsid w:val="003218E1"/>
    <w:rsid w:val="0036148C"/>
    <w:rsid w:val="00380962"/>
    <w:rsid w:val="003908D9"/>
    <w:rsid w:val="00404667"/>
    <w:rsid w:val="004A26B4"/>
    <w:rsid w:val="004A71C0"/>
    <w:rsid w:val="004E34C6"/>
    <w:rsid w:val="004F2245"/>
    <w:rsid w:val="00612986"/>
    <w:rsid w:val="00627136"/>
    <w:rsid w:val="006548B9"/>
    <w:rsid w:val="00690270"/>
    <w:rsid w:val="00705C2B"/>
    <w:rsid w:val="007505A3"/>
    <w:rsid w:val="00791397"/>
    <w:rsid w:val="00796CB6"/>
    <w:rsid w:val="008A691F"/>
    <w:rsid w:val="008E2E59"/>
    <w:rsid w:val="008F1A7C"/>
    <w:rsid w:val="009C0229"/>
    <w:rsid w:val="00A50944"/>
    <w:rsid w:val="00B1350E"/>
    <w:rsid w:val="00BB24C8"/>
    <w:rsid w:val="00BB3BCD"/>
    <w:rsid w:val="00BD556B"/>
    <w:rsid w:val="00BF5B84"/>
    <w:rsid w:val="00C25D64"/>
    <w:rsid w:val="00CA1B68"/>
    <w:rsid w:val="00CF411A"/>
    <w:rsid w:val="00D743B5"/>
    <w:rsid w:val="00DF5286"/>
    <w:rsid w:val="00E54171"/>
    <w:rsid w:val="00E6375E"/>
    <w:rsid w:val="00F465D6"/>
    <w:rsid w:val="00FA7547"/>
    <w:rsid w:val="025D690F"/>
    <w:rsid w:val="029C1412"/>
    <w:rsid w:val="038A2C09"/>
    <w:rsid w:val="043B10FF"/>
    <w:rsid w:val="0531414E"/>
    <w:rsid w:val="06032B2D"/>
    <w:rsid w:val="0B7E5F21"/>
    <w:rsid w:val="0CD0368C"/>
    <w:rsid w:val="11070852"/>
    <w:rsid w:val="13361AEC"/>
    <w:rsid w:val="13623916"/>
    <w:rsid w:val="148D32B1"/>
    <w:rsid w:val="16282DBB"/>
    <w:rsid w:val="163C4081"/>
    <w:rsid w:val="18C24DAB"/>
    <w:rsid w:val="1A642D06"/>
    <w:rsid w:val="1A6D1019"/>
    <w:rsid w:val="1A9554A2"/>
    <w:rsid w:val="1CE41C20"/>
    <w:rsid w:val="1D894650"/>
    <w:rsid w:val="1F12350D"/>
    <w:rsid w:val="242C5369"/>
    <w:rsid w:val="26CA0394"/>
    <w:rsid w:val="28CA3E12"/>
    <w:rsid w:val="298011DE"/>
    <w:rsid w:val="29A44ECD"/>
    <w:rsid w:val="29E3139F"/>
    <w:rsid w:val="2ACC7FF6"/>
    <w:rsid w:val="2B41390F"/>
    <w:rsid w:val="2BAC62BA"/>
    <w:rsid w:val="2CF560B4"/>
    <w:rsid w:val="2DE27D71"/>
    <w:rsid w:val="2F75600B"/>
    <w:rsid w:val="3037502F"/>
    <w:rsid w:val="303C4231"/>
    <w:rsid w:val="32866DD6"/>
    <w:rsid w:val="34327581"/>
    <w:rsid w:val="34F532C0"/>
    <w:rsid w:val="35962E31"/>
    <w:rsid w:val="37272C99"/>
    <w:rsid w:val="39371C85"/>
    <w:rsid w:val="393F6ACF"/>
    <w:rsid w:val="396D3A3E"/>
    <w:rsid w:val="3AF16EE9"/>
    <w:rsid w:val="3B905FB8"/>
    <w:rsid w:val="3BA47F47"/>
    <w:rsid w:val="3CD17C85"/>
    <w:rsid w:val="3EBE30FE"/>
    <w:rsid w:val="3F34632C"/>
    <w:rsid w:val="41E023C2"/>
    <w:rsid w:val="436451D4"/>
    <w:rsid w:val="44200160"/>
    <w:rsid w:val="449A5066"/>
    <w:rsid w:val="44FF311D"/>
    <w:rsid w:val="477C0DDF"/>
    <w:rsid w:val="485765A3"/>
    <w:rsid w:val="48682B27"/>
    <w:rsid w:val="497839CC"/>
    <w:rsid w:val="4BC4555C"/>
    <w:rsid w:val="4D824419"/>
    <w:rsid w:val="4E992DD5"/>
    <w:rsid w:val="538E07C1"/>
    <w:rsid w:val="54F2448F"/>
    <w:rsid w:val="5613694F"/>
    <w:rsid w:val="561C6D6A"/>
    <w:rsid w:val="56FB38A8"/>
    <w:rsid w:val="57103779"/>
    <w:rsid w:val="58D52CEA"/>
    <w:rsid w:val="5DAD53F7"/>
    <w:rsid w:val="5DEA0814"/>
    <w:rsid w:val="5F9115A6"/>
    <w:rsid w:val="61A55D4C"/>
    <w:rsid w:val="63024C8C"/>
    <w:rsid w:val="634D2974"/>
    <w:rsid w:val="63871E73"/>
    <w:rsid w:val="640B5E3E"/>
    <w:rsid w:val="658E3D60"/>
    <w:rsid w:val="65BF4503"/>
    <w:rsid w:val="69472848"/>
    <w:rsid w:val="6A641533"/>
    <w:rsid w:val="6BE91CF0"/>
    <w:rsid w:val="6E801271"/>
    <w:rsid w:val="6FF7564A"/>
    <w:rsid w:val="719F1934"/>
    <w:rsid w:val="722803D2"/>
    <w:rsid w:val="73C3376E"/>
    <w:rsid w:val="7A682979"/>
    <w:rsid w:val="7B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743992">
      <w:bodyDiv w:val="1"/>
      <w:marLeft w:val="0"/>
      <w:marRight w:val="0"/>
      <w:marTop w:val="0"/>
      <w:marBottom w:val="0"/>
      <w:divBdr>
        <w:top w:val="none" w:sz="0" w:space="0" w:color="auto"/>
        <w:left w:val="none" w:sz="0" w:space="0" w:color="auto"/>
        <w:bottom w:val="none" w:sz="0" w:space="0" w:color="auto"/>
        <w:right w:val="none" w:sz="0" w:space="0" w:color="auto"/>
      </w:divBdr>
      <w:divsChild>
        <w:div w:id="978740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1578</TotalTime>
  <Pages>6</Pages>
  <Words>403</Words>
  <Characters>2300</Characters>
  <Application>Microsoft Office Word</Application>
  <DocSecurity>0</DocSecurity>
  <Lines>19</Lines>
  <Paragraphs>5</Paragraphs>
  <ScaleCrop>false</ScaleCrop>
  <Company>Microsoft</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32</cp:revision>
  <dcterms:created xsi:type="dcterms:W3CDTF">2022-06-14T06:14:00Z</dcterms:created>
  <dcterms:modified xsi:type="dcterms:W3CDTF">2026-01-06T08:12:00Z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84C0C18BED9F4261A40B16E22C78F3A9_13</vt:lpwstr>
  </property>
</Properties>
</file>